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Carga de enfermedad y disociaci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  <w:lang w:val="es-ES_tradnl"/>
        </w:rPr>
        <w:t>n estructural: cuando la pol</w:t>
      </w:r>
      <w:r>
        <w:rPr>
          <w:rFonts w:ascii="Times New Roman" w:hAnsi="Times New Roman" w:hint="default"/>
          <w:b w:val="1"/>
          <w:bCs w:val="1"/>
          <w:rtl w:val="0"/>
        </w:rPr>
        <w:t>í</w:t>
      </w:r>
      <w:r>
        <w:rPr>
          <w:rFonts w:ascii="Times New Roman" w:hAnsi="Times New Roman"/>
          <w:b w:val="1"/>
          <w:bCs w:val="1"/>
          <w:rtl w:val="0"/>
          <w:lang w:val="pt-PT"/>
        </w:rPr>
        <w:t>tica econ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  <w:lang w:val="es-ES_tradnl"/>
        </w:rPr>
        <w:t>mica y la pol</w:t>
      </w:r>
      <w:r>
        <w:rPr>
          <w:rFonts w:ascii="Times New Roman" w:hAnsi="Times New Roman" w:hint="default"/>
          <w:b w:val="1"/>
          <w:bCs w:val="1"/>
          <w:rtl w:val="0"/>
        </w:rPr>
        <w:t>í</w:t>
      </w:r>
      <w:r>
        <w:rPr>
          <w:rFonts w:ascii="Times New Roman" w:hAnsi="Times New Roman"/>
          <w:b w:val="1"/>
          <w:bCs w:val="1"/>
          <w:rtl w:val="0"/>
          <w:lang w:val="es-ES_tradnl"/>
        </w:rPr>
        <w:t>tica sanitaria no conversan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Style w:val="Ninguno"/>
          <w:rFonts w:ascii="Times New Roman" w:cs="Times New Roman" w:hAnsi="Times New Roman" w:eastAsia="Times New Roman"/>
          <w:b w:val="0"/>
          <w:bCs w:val="0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Carlos Villanueva, MD</w:t>
      </w:r>
      <w:r>
        <w:rPr>
          <w:rStyle w:val="Ninguno"/>
          <w:rFonts w:ascii="Times New Roman" w:cs="Times New Roman" w:hAnsi="Times New Roman" w:eastAsia="Times New Roman"/>
          <w:b w:val="0"/>
          <w:bCs w:val="0"/>
          <w:rtl w:val="0"/>
        </w:rPr>
        <w:br w:type="textWrapping"/>
      </w:r>
      <w:r>
        <w:rPr>
          <w:rStyle w:val="Ninguno"/>
          <w:rFonts w:ascii="Times New Roman" w:hAnsi="Times New Roman"/>
          <w:b w:val="0"/>
          <w:bCs w:val="0"/>
          <w:rtl w:val="0"/>
          <w:lang w:val="en-US"/>
        </w:rPr>
        <w:t>Chile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Fecha de creaci</w:t>
      </w:r>
      <w:r>
        <w:rPr>
          <w:rStyle w:val="Ninguno"/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Times New Roman" w:hAnsi="Times New Roman"/>
          <w:b w:val="1"/>
          <w:bCs w:val="1"/>
          <w:rtl w:val="0"/>
          <w:lang w:val="de-DE"/>
        </w:rPr>
        <w:t>n:</w:t>
      </w:r>
      <w:r>
        <w:rPr>
          <w:rFonts w:ascii="Times New Roman" w:hAnsi="Times New Roman"/>
          <w:rtl w:val="0"/>
          <w:lang w:val="es-ES_tradnl"/>
        </w:rPr>
        <w:t xml:space="preserve"> 2 de marzo de 2026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Abstract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carga de enfermedad en Chile, medida mediante AVISA (A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  <w:lang w:val="es-ES_tradnl"/>
        </w:rPr>
        <w:t>os de Vida Saludables Perdidos), est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  <w:lang w:val="es-ES_tradnl"/>
        </w:rPr>
        <w:t>dominada por enfermedades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nicas no transmisibles como c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it-IT"/>
        </w:rPr>
        <w:t>ncer, patolog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pt-PT"/>
        </w:rPr>
        <w:t>as cardiovasculares, trastornos musculoesquel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ticos, salud mental y diabetes mellitus. Este perfil epidemiol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 refleja mecanismos fisiopatol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gicos compartidos, incluyendo inflamaci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n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 de bajo grado, desregulaci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neuroendocrina y alteraciones metab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pt-PT"/>
        </w:rPr>
        <w:t>licas.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Aunque la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es reconocida como la estrategia 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s costo-efectiva en salud p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s-ES_tradnl"/>
        </w:rPr>
        <w:t>blica, persiste una disociaci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estructural entre la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it-IT"/>
        </w:rPr>
        <w:t xml:space="preserve">tica sanitaria </w:t>
      </w:r>
      <w:r>
        <w:rPr>
          <w:rFonts w:ascii="Times New Roman" w:hAnsi="Times New Roman" w:hint="default"/>
          <w:rtl w:val="0"/>
          <w:lang w:val="en-US"/>
        </w:rPr>
        <w:t>—</w:t>
      </w:r>
      <w:r>
        <w:rPr>
          <w:rFonts w:ascii="Times New Roman" w:hAnsi="Times New Roman"/>
          <w:rtl w:val="0"/>
          <w:lang w:val="es-ES_tradnl"/>
        </w:rPr>
        <w:t>orientada principalmente al tratamiento de etapas avanzadas</w:t>
      </w:r>
      <w:r>
        <w:rPr>
          <w:rFonts w:ascii="Times New Roman" w:hAnsi="Times New Roman" w:hint="default"/>
          <w:rtl w:val="0"/>
          <w:lang w:val="en-US"/>
        </w:rPr>
        <w:t xml:space="preserve">— </w:t>
      </w:r>
      <w:r>
        <w:rPr>
          <w:rFonts w:ascii="Times New Roman" w:hAnsi="Times New Roman"/>
          <w:rtl w:val="0"/>
          <w:lang w:val="es-ES_tradnl"/>
        </w:rPr>
        <w:t>y las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pt-PT"/>
        </w:rPr>
        <w:t>ticas econ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micas, laborales y regulatorias que configuran entornos de riesgo.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pt-PT"/>
        </w:rPr>
        <w:t>Se analiza, patolog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a por patolog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it-IT"/>
        </w:rPr>
        <w:t>a, 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mo esta incoherencia estructural contribuye a la carga observada. Se plantea que la reducci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sostenible de AVISA requiere coherencia intersectorial y un desplazamiento desde la reparaci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n cl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nica hacia la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 estructural.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Palabras clave:</w:t>
      </w:r>
      <w:r>
        <w:rPr>
          <w:rFonts w:ascii="Times New Roman" w:hAnsi="Times New Roman"/>
          <w:rtl w:val="0"/>
          <w:lang w:val="es-ES_tradnl"/>
        </w:rPr>
        <w:t xml:space="preserve"> AVISA; carga de enfermedad; enfermedades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nicas; determinantes sociales;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tica sanitaria;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 estructural.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Introducci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n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Mucho se habla de determinantes sociales en salud, entendidos como el conjunto de condiciones personales, sociales, econ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micas y ambientales que influyen en el estado de salud de individuos y poblaciones (1).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evidencia acumulada demuestra que la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es la estrategia 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s costo-efectiva en salud p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s-ES_tradnl"/>
        </w:rPr>
        <w:t>blica. Sin embargo, los estudios nacionales de carga de enfermedad muestran que Chile contin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s-ES_tradnl"/>
        </w:rPr>
        <w:t>a concentrando su mayor AVISA en enfermedades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nicas no transmisibles (2,3).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Esta realidad obliga a preguntarse si existe coherencia entre el sistema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tico-regulatorio y el sistema sanitario, ambos parte del mismo aparato estatal.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pt-PT"/>
        </w:rPr>
        <w:t>A continuaci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pt-PT"/>
        </w:rPr>
        <w:t>n, se analiza patolog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a por patolog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fr-FR"/>
        </w:rPr>
        <w:t>a 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mo determinadas decisiones estructurales pueden contribuir a la carga observada.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cs="Times New Roman" w:hAnsi="Times New Roman" w:eastAsia="Times New Roman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342900</wp:posOffset>
            </wp:positionV>
            <wp:extent cx="5943600" cy="23732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7"/>
                <wp:lineTo x="0" y="21607"/>
                <wp:lineTo x="0" y="0"/>
              </wp:wrapPolygon>
            </wp:wrapThrough>
            <wp:docPr id="1073741825" name="officeArt object" descr="Captura de pantalla 2026-03-02 a la(s) 4.57.26 a.m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a de pantalla 2026-03-02 a la(s) 4.57.26 a.m..png" descr="Captura de pantalla 2026-03-02 a la(s) 4.57.26 a.m.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2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C</w:t>
      </w:r>
      <w:r>
        <w:rPr>
          <w:rFonts w:ascii="Times New Roman" w:hAnsi="Times New Roman" w:hint="default"/>
          <w:b w:val="1"/>
          <w:bCs w:val="1"/>
          <w:rtl w:val="0"/>
        </w:rPr>
        <w:t>á</w:t>
      </w:r>
      <w:r>
        <w:rPr>
          <w:rFonts w:ascii="Times New Roman" w:hAnsi="Times New Roman"/>
          <w:b w:val="1"/>
          <w:bCs w:val="1"/>
          <w:rtl w:val="0"/>
        </w:rPr>
        <w:t>ncer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pt-PT"/>
        </w:rPr>
        <w:t>Diversos tipos de c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ncer comparten mecanismos biol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gicos asociados a inflamaci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n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 sostenida y p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rdida de control sobre la proliferaci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 celular.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Las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pt-PT"/>
        </w:rPr>
        <w:t>ticas p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s-ES_tradnl"/>
        </w:rPr>
        <w:t>blicas han avanzado en advertencias sanitarias y regulaci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parcial del tabaco y alcohol. Sin embargo, el entorno alimentario dominado por ultraprocesados, la disponibilidad extendida de alcohol y el estr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s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nico asociado a condiciones laborales y econ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micas configuran un ambiente biol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it-IT"/>
        </w:rPr>
        <w:t>gico potencialmente proinflamatorio.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El punto central no es moral, sino estructural: cuando el Estado financia tratamientos oncol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gicos de alto costo y simult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neamente permite entornos que favorecen exposici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sostenida a factores de riesgo, emerge una tensi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de coherencia regulatoria.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Enfermedades cardiovasculares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Las enfermedades cardiovasculares no se limitan al infarto agudo al miocardio. Incluyen enfermedad arterial perif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pt-PT"/>
        </w:rPr>
        <w:t>rica, isquemia cr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tica de extremidades, accidente cerebrovascular y enfermedad renal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 avanzada, cuyo tratamiento mediante hemodi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lisis constituye uno de los mayores costos sanitarios del pa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pt-PT"/>
        </w:rPr>
        <w:t>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El da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  <w:lang w:val="it-IT"/>
        </w:rPr>
        <w:t>o endotelial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nico, la resistencia insul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nica y la activaci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sostenida del eje hipot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it-IT"/>
        </w:rPr>
        <w:t>lamo-hip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fisis-adrenal constituyen mecanismos comunes. Estos procesos no son exclusivamente individuales; est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n modulados por sedentarismo urbano, organizaci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laboral, alimentaci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industrializada y exposici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prolongada al estr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pt-PT"/>
        </w:rPr>
        <w:t>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carga creciente observada en DALYs (2,3) sugiere que la intervenci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sigue concentr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ndose en etapas tard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as del da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  <w:lang w:val="pt-PT"/>
        </w:rPr>
        <w:t>o vascular.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Trastornos musculoesquel</w:t>
      </w:r>
      <w:r>
        <w:rPr>
          <w:rFonts w:ascii="Times New Roman" w:hAnsi="Times New Roman" w:hint="default"/>
          <w:b w:val="1"/>
          <w:bCs w:val="1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rtl w:val="0"/>
          <w:lang w:val="pt-PT"/>
        </w:rPr>
        <w:t>ticos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Los trastornos musculoesquel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ticos ocupan posiciones relevantes en AVISA (2,3). Artrosis, dolor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nico y deterioro funcional est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n fuertemente asociados a envejecimiento, obesidad y baja actividad f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it-IT"/>
        </w:rPr>
        <w:t>sica.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it-IT"/>
        </w:rPr>
        <w:t xml:space="preserve">n primaria </w:t>
      </w:r>
      <w:r>
        <w:rPr>
          <w:rFonts w:ascii="Times New Roman" w:hAnsi="Times New Roman" w:hint="default"/>
          <w:rtl w:val="0"/>
          <w:lang w:val="en-US"/>
        </w:rPr>
        <w:t>—</w:t>
      </w:r>
      <w:r>
        <w:rPr>
          <w:rFonts w:ascii="Times New Roman" w:hAnsi="Times New Roman"/>
          <w:rtl w:val="0"/>
          <w:lang w:val="es-ES_tradnl"/>
        </w:rPr>
        <w:t>acceso real a espacios de actividad f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it-IT"/>
        </w:rPr>
        <w:t>sica,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ticas de movilidad urbana activa y promoci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 xml:space="preserve">n de salud 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sea desde etapas tempranas</w:t>
      </w:r>
      <w:r>
        <w:rPr>
          <w:rFonts w:ascii="Times New Roman" w:hAnsi="Times New Roman" w:hint="default"/>
          <w:rtl w:val="0"/>
          <w:lang w:val="en-US"/>
        </w:rPr>
        <w:t xml:space="preserve">— </w:t>
      </w:r>
      <w:r>
        <w:rPr>
          <w:rFonts w:ascii="Times New Roman" w:hAnsi="Times New Roman"/>
          <w:rtl w:val="0"/>
          <w:lang w:val="es-ES_tradnl"/>
        </w:rPr>
        <w:t>recibe menor prioridad que la intervenci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quir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pt-PT"/>
        </w:rPr>
        <w:t>rgica o farmacol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gica en etapas avanzadas.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carga observada no puede explicarse solo por envejecimiento poblacional; tambi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n refleja condiciones estructurales de vida.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Salud mental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salud mental se mantiene consistentemente entre las principales causas de discapacidad en Chile (3).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Es necesario distinguir entre trastornos psiqui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es-ES_tradnl"/>
        </w:rPr>
        <w:t>tricos estructurados y sintomatolog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a asociada a estr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s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nico, jornadas laborales extensas, precarizaci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e incertidumbre econ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it-IT"/>
        </w:rPr>
        <w:t>mica.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evidencia sobre determinantes sociales en acceso a salud (1) muestra desigualdades persistentes, mientras el tratamiento farmacol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 y psicol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 sigue siendo de acceso limitado para amplios sectores.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paradoja es que la salud mental, uno de los principales contribuyentes a AVISA, contin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s-ES_tradnl"/>
        </w:rPr>
        <w:t>a siendo abordada principalmente desde la contenci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n cl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nica, con menor intervenci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estructural sobre sus determinantes.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Diabetes mellitus tipo 2 y enfermedad renal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diabetes tipo 2 presenta un componente gen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tico relevante, pero su expresi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est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  <w:lang w:val="es-ES_tradnl"/>
        </w:rPr>
        <w:t>fuertemente modulada por factores ambientales desde la infancia.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Chile logr</w:t>
      </w:r>
      <w:r>
        <w:rPr>
          <w:rFonts w:ascii="Times New Roman" w:hAnsi="Times New Roman" w:hint="default"/>
          <w:rtl w:val="0"/>
        </w:rPr>
        <w:t xml:space="preserve">ó </w:t>
      </w:r>
      <w:r>
        <w:rPr>
          <w:rFonts w:ascii="Times New Roman" w:hAnsi="Times New Roman"/>
          <w:rtl w:val="0"/>
        </w:rPr>
        <w:t>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ticas exitosas frente a la malnutrici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por d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ficit. El desaf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o actual es la malnutrici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por exceso.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evidencia reciente sobre memoria epigen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tica del tejido adiposo (4) sugiere que la obesidad puede dejar huellas biol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gicas persistentes, reforzando la necesidad de intervenciones tempranas sostenidas.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El desenlace frecuente de la diabetes mal controlada es la nefropat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it-IT"/>
        </w:rPr>
        <w:t>a diab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tica avanzada, contribuyendo significativamente a la carga de enfermedad renal y al alto costo sanitario.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Enfermedades respiratorias cr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  <w:lang w:val="pt-PT"/>
        </w:rPr>
        <w:t>nicas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El asma y la EPOC contin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s-ES_tradnl"/>
        </w:rPr>
        <w:t>an contribuyendo a AVISA (2,3). El tabaquismo, la contaminaci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ambiental y el diagn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it-IT"/>
        </w:rPr>
        <w:t>stico tard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o mantienen su impacto.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Si bien existen herramientas terap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s-ES_tradnl"/>
        </w:rPr>
        <w:t>uticas eficaces, la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primaria y secundaria temprana sigue siendo desigual en su implementaci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Conclusi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n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Los estudios nacionales de carga de enfermedad (2,3) confirman la consolidaci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de un perfil epidemiol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 dominado por enfermedades cr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nicas no transmisibles.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evidencia sobre determinantes sociales (1) y sobre mecanismos biol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gicos compartidos sugiere que la carga observada no es aleatoria, sino coherente con un entorno estructural espec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it-IT"/>
        </w:rPr>
        <w:t>fico.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La prevenci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no puede ser responsabilidad exclusiva del Ministerio de Salud. Requiere alineaci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fr-FR"/>
        </w:rPr>
        <w:t>n entre pol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pt-PT"/>
        </w:rPr>
        <w:t>ticas econ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micas, laborales, urbanas y regulatorias.</w:t>
      </w:r>
    </w:p>
    <w:p>
      <w:pPr>
        <w:pStyle w:val="Predeterminado"/>
        <w:bidi w:val="0"/>
        <w:spacing w:before="0" w:after="240" w:line="240" w:lineRule="auto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s-ES_tradnl"/>
        </w:rPr>
        <w:t>Mientras esta disociaci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n persista, el sistema sanitario continuar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  <w:lang w:val="es-ES_tradnl"/>
        </w:rPr>
        <w:t>gestionando las consecuencias de exposiciones estructurales que permanecen insuficientemente intervenidas.</w:t>
      </w:r>
    </w:p>
    <w:p>
      <w:pPr>
        <w:pStyle w:val="Predeterminado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Predeterminado"/>
        <w:bidi w:val="0"/>
        <w:spacing w:before="0" w:after="322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Referencias</w:t>
      </w:r>
    </w:p>
    <w:p>
      <w:pPr>
        <w:pStyle w:val="Predeterminado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Alvear-Vega S, Acu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  <w:lang w:val="fr-FR"/>
        </w:rPr>
        <w:t>a San-Mart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es-ES_tradnl"/>
        </w:rPr>
        <w:t>n M. Determinantes sociales que influyen en el acceso en Chile al Plan GES, seg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en-US"/>
        </w:rPr>
        <w:t>n CASEN 2017. Rev Med Chil. 2022;150(1):70</w:t>
      </w:r>
      <w:r>
        <w:rPr>
          <w:rFonts w:ascii="Times New Roman" w:hAnsi="Times New Roman" w:hint="default"/>
          <w:rtl w:val="0"/>
        </w:rPr>
        <w:t>–</w:t>
      </w:r>
      <w:r>
        <w:rPr>
          <w:rFonts w:ascii="Times New Roman" w:hAnsi="Times New Roman"/>
          <w:rtl w:val="0"/>
        </w:rPr>
        <w:t>77. doi:10.4067/S0034-98872022000100070</w:t>
      </w:r>
    </w:p>
    <w:p>
      <w:pPr>
        <w:pStyle w:val="Predeterminado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New Roman" w:hAnsi="Times New Roman"/>
          <w:rtl w:val="0"/>
          <w:lang w:val="es-ES_tradnl"/>
        </w:rPr>
      </w:pPr>
      <w:r>
        <w:rPr>
          <w:rFonts w:ascii="Times New Roman" w:hAnsi="Times New Roman"/>
          <w:rtl w:val="0"/>
          <w:lang w:val="es-ES_tradnl"/>
        </w:rPr>
        <w:t>Ministerio de Salud de Chile. Estudio de Carga de Enfermedad y Carga Atribuible 2007</w:t>
      </w:r>
      <w:r>
        <w:rPr>
          <w:rFonts w:ascii="Times New Roman" w:hAnsi="Times New Roman" w:hint="default"/>
          <w:rtl w:val="0"/>
        </w:rPr>
        <w:t>–</w:t>
      </w:r>
      <w:r>
        <w:rPr>
          <w:rFonts w:ascii="Times New Roman" w:hAnsi="Times New Roman"/>
          <w:rtl w:val="0"/>
          <w:lang w:val="pt-PT"/>
        </w:rPr>
        <w:t>2008. Santiago: MINSAL; 2010.</w:t>
      </w:r>
    </w:p>
    <w:p>
      <w:pPr>
        <w:pStyle w:val="Predeterminado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New Roman" w:hAnsi="Times New Roman"/>
          <w:rtl w:val="0"/>
          <w:lang w:val="fr-FR"/>
        </w:rPr>
      </w:pPr>
      <w:r>
        <w:rPr>
          <w:rFonts w:ascii="Times New Roman" w:hAnsi="Times New Roman"/>
          <w:rtl w:val="0"/>
          <w:lang w:val="fr-FR"/>
        </w:rPr>
        <w:t>Mart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  <w:lang w:val="fr-FR"/>
        </w:rPr>
        <w:t xml:space="preserve">nez-Sanguinetti MA, et al. </w:t>
      </w:r>
      <w:r>
        <w:rPr>
          <w:rFonts w:ascii="Times New Roman" w:hAnsi="Times New Roman" w:hint="default"/>
          <w:rtl w:val="0"/>
          <w:lang w:val="es-ES_tradnl"/>
        </w:rPr>
        <w:t>¿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>mo ha cambiado el perfil epidemiol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s-ES_tradnl"/>
        </w:rPr>
        <w:t xml:space="preserve">gico en Chile en los 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  <w:lang w:val="pt-PT"/>
        </w:rPr>
        <w:t>ltimos 10 a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</w:rPr>
        <w:t>os? Rev Med Chil. 2021;149(1):1</w:t>
      </w:r>
      <w:r>
        <w:rPr>
          <w:rFonts w:ascii="Times New Roman" w:hAnsi="Times New Roman" w:hint="default"/>
          <w:rtl w:val="0"/>
        </w:rPr>
        <w:t>–</w:t>
      </w:r>
      <w:r>
        <w:rPr>
          <w:rFonts w:ascii="Times New Roman" w:hAnsi="Times New Roman"/>
          <w:rtl w:val="0"/>
        </w:rPr>
        <w:t>11. doi:10.4067/S0034-98872021000100149</w:t>
      </w:r>
    </w:p>
    <w:p>
      <w:pPr>
        <w:pStyle w:val="Predeterminado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Watson T. Fat cells have a </w:t>
      </w:r>
      <w:r>
        <w:rPr>
          <w:rFonts w:ascii="Times New Roman" w:hAnsi="Times New Roman" w:hint="default"/>
          <w:rtl w:val="1"/>
          <w:lang w:val="ar-SA" w:bidi="ar-SA"/>
        </w:rPr>
        <w:t>“</w:t>
      </w:r>
      <w:r>
        <w:rPr>
          <w:rFonts w:ascii="Times New Roman" w:hAnsi="Times New Roman"/>
          <w:rtl w:val="0"/>
          <w:lang w:val="en-US"/>
        </w:rPr>
        <w:t>memory</w:t>
      </w:r>
      <w:r>
        <w:rPr>
          <w:rFonts w:ascii="Times New Roman" w:hAnsi="Times New Roman" w:hint="default"/>
          <w:rtl w:val="0"/>
        </w:rPr>
        <w:t xml:space="preserve">” </w:t>
      </w:r>
      <w:r>
        <w:rPr>
          <w:rFonts w:ascii="Times New Roman" w:hAnsi="Times New Roman"/>
          <w:rtl w:val="0"/>
          <w:lang w:val="en-US"/>
        </w:rPr>
        <w:t xml:space="preserve">of obesity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  <w:lang w:val="en-US"/>
        </w:rPr>
        <w:t>hinting at why it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en-US"/>
        </w:rPr>
        <w:t>s hard to keep weight off. Nature. 2024;635(8040):798. doi:10.1038/d41586-024-03614-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úmero"/>
  </w:abstractNum>
  <w:abstractNum w:abstractNumId="1">
    <w:multiLevelType w:val="hybridMultilevel"/>
    <w:styleLink w:val="Número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numbering" w:styleId="Número">
    <w:name w:val="Númer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